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881419" w:rsidRDefault="007B15AD" w:rsidP="008814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881419" w:rsidRDefault="007B15AD" w:rsidP="00881419">
      <w:pPr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881419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881419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881419">
      <w:pPr>
        <w:spacing w:line="360" w:lineRule="auto"/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881419" w:rsidRDefault="00BC18FA" w:rsidP="00881419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881419">
        <w:rPr>
          <w:color w:val="000000"/>
          <w:sz w:val="32"/>
          <w:szCs w:val="32"/>
        </w:rPr>
        <w:t>РАБОЧАЯ ПРОГРАММА</w:t>
      </w:r>
    </w:p>
    <w:p w:rsidR="00AB2998" w:rsidRPr="00881419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учебной практики</w:t>
      </w:r>
    </w:p>
    <w:p w:rsidR="00881419" w:rsidRPr="00881419" w:rsidRDefault="003A344A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81419">
        <w:rPr>
          <w:smallCaps/>
          <w:sz w:val="28"/>
          <w:szCs w:val="28"/>
        </w:rPr>
        <w:t xml:space="preserve">ПМ.04 «Выполнение работ по одной или нескольким </w:t>
      </w:r>
    </w:p>
    <w:p w:rsidR="007B15AD" w:rsidRPr="00881419" w:rsidRDefault="003A344A" w:rsidP="00881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81419">
        <w:rPr>
          <w:smallCaps/>
          <w:sz w:val="28"/>
          <w:szCs w:val="28"/>
        </w:rPr>
        <w:t>профессиям рабочих,</w:t>
      </w:r>
      <w:r w:rsidR="00881419" w:rsidRPr="00881419">
        <w:rPr>
          <w:smallCaps/>
          <w:sz w:val="28"/>
          <w:szCs w:val="28"/>
        </w:rPr>
        <w:t xml:space="preserve"> </w:t>
      </w:r>
      <w:r w:rsidRPr="00881419">
        <w:rPr>
          <w:smallCaps/>
          <w:sz w:val="28"/>
          <w:szCs w:val="28"/>
        </w:rPr>
        <w:t>должностям служащих «Оператор ЭВМ»</w:t>
      </w:r>
      <w:r w:rsidR="00881419" w:rsidRPr="00881419">
        <w:rPr>
          <w:smallCaps/>
          <w:sz w:val="28"/>
          <w:szCs w:val="28"/>
        </w:rPr>
        <w:t xml:space="preserve"> </w:t>
      </w:r>
      <w:r w:rsidR="007B15AD" w:rsidRPr="00881419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881419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 xml:space="preserve">для специальности </w:t>
      </w:r>
    </w:p>
    <w:p w:rsidR="007B15AD" w:rsidRPr="00881419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881419">
        <w:rPr>
          <w:b/>
          <w:sz w:val="28"/>
          <w:szCs w:val="28"/>
        </w:rPr>
        <w:t>10.02.0</w:t>
      </w:r>
      <w:r w:rsidR="00D3379B" w:rsidRPr="00881419">
        <w:rPr>
          <w:b/>
          <w:sz w:val="28"/>
          <w:szCs w:val="28"/>
        </w:rPr>
        <w:t>5</w:t>
      </w:r>
      <w:r w:rsidRPr="00881419">
        <w:rPr>
          <w:b/>
          <w:sz w:val="28"/>
          <w:szCs w:val="28"/>
        </w:rPr>
        <w:t xml:space="preserve"> «Обеспечение информационной безопасности </w:t>
      </w:r>
      <w:r w:rsidR="00D3379B" w:rsidRPr="00881419">
        <w:rPr>
          <w:b/>
          <w:sz w:val="28"/>
          <w:szCs w:val="28"/>
        </w:rPr>
        <w:t>автоматизированных</w:t>
      </w:r>
      <w:r w:rsidRPr="00881419">
        <w:rPr>
          <w:b/>
          <w:sz w:val="28"/>
          <w:szCs w:val="28"/>
        </w:rPr>
        <w:t xml:space="preserve"> систем»</w:t>
      </w:r>
    </w:p>
    <w:p w:rsidR="007B15AD" w:rsidRPr="00881419" w:rsidRDefault="007B15AD" w:rsidP="007B15AD">
      <w:pPr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A344A" w:rsidRDefault="003A3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881419" w:rsidRDefault="00BC18FA">
      <w:pPr>
        <w:jc w:val="center"/>
      </w:pPr>
      <w:r w:rsidRPr="00881419">
        <w:t>Ростов-на-Дону</w:t>
      </w:r>
    </w:p>
    <w:p w:rsidR="00AB2998" w:rsidRPr="00881419" w:rsidRDefault="00BC18FA" w:rsidP="00FA0E5B">
      <w:pPr>
        <w:jc w:val="center"/>
      </w:pPr>
      <w:r w:rsidRPr="00881419">
        <w:t>202</w:t>
      </w:r>
      <w:r w:rsidR="00CF7E2F" w:rsidRPr="00881419">
        <w:t>5</w:t>
      </w:r>
      <w:r w:rsidRPr="00881419"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881419" w:rsidP="00C645F8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881419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 28 » февраля </w:t>
            </w:r>
            <w:r w:rsidR="007B15AD">
              <w:rPr>
                <w:color w:val="000000"/>
              </w:rPr>
              <w:t xml:space="preserve"> 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7B15AD" w:rsidRPr="00881419" w:rsidRDefault="00BC18FA" w:rsidP="007B15AD">
      <w:pPr>
        <w:jc w:val="both"/>
        <w:rPr>
          <w:sz w:val="28"/>
          <w:szCs w:val="28"/>
        </w:rPr>
      </w:pPr>
      <w:r w:rsidRPr="00881419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881419">
        <w:rPr>
          <w:color w:val="000000"/>
          <w:sz w:val="28"/>
          <w:szCs w:val="28"/>
        </w:rPr>
        <w:t>разработана</w:t>
      </w:r>
      <w:r w:rsidR="007B15AD" w:rsidRPr="00881419">
        <w:rPr>
          <w:color w:val="000000"/>
          <w:sz w:val="28"/>
          <w:szCs w:val="28"/>
        </w:rPr>
        <w:t xml:space="preserve"> </w:t>
      </w:r>
      <w:r w:rsidR="00CF5C17" w:rsidRPr="00881419">
        <w:rPr>
          <w:sz w:val="28"/>
          <w:szCs w:val="28"/>
        </w:rPr>
        <w:t>на основе Федерального государственного образовательного стандарта среднего профессионального образования по специальности 10.02.0</w:t>
      </w:r>
      <w:r w:rsidR="00D3379B" w:rsidRPr="00881419">
        <w:rPr>
          <w:sz w:val="28"/>
          <w:szCs w:val="28"/>
        </w:rPr>
        <w:t>5</w:t>
      </w:r>
      <w:r w:rsidR="00CF5C17" w:rsidRPr="00881419">
        <w:rPr>
          <w:sz w:val="28"/>
          <w:szCs w:val="28"/>
        </w:rPr>
        <w:t xml:space="preserve"> Обеспечение информационной безопасности </w:t>
      </w:r>
      <w:r w:rsidR="00D3379B" w:rsidRPr="00881419">
        <w:rPr>
          <w:sz w:val="28"/>
          <w:szCs w:val="28"/>
        </w:rPr>
        <w:t>автоматизированных систем</w:t>
      </w:r>
      <w:r w:rsidR="00CF5C17" w:rsidRPr="00881419">
        <w:rPr>
          <w:sz w:val="28"/>
          <w:szCs w:val="28"/>
        </w:rPr>
        <w:t xml:space="preserve">, утвержденного приказом Министерства образования и науки Российской Федерации </w:t>
      </w:r>
      <w:r w:rsidR="00881419" w:rsidRPr="00881419">
        <w:rPr>
          <w:sz w:val="28"/>
          <w:szCs w:val="28"/>
        </w:rPr>
        <w:t>№ 1551</w:t>
      </w:r>
      <w:r w:rsidR="00CF5C17" w:rsidRPr="00881419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881419" w:rsidRPr="00881419">
        <w:rPr>
          <w:sz w:val="28"/>
          <w:szCs w:val="28"/>
        </w:rPr>
        <w:t>44944 от</w:t>
      </w:r>
      <w:r w:rsidR="00CF5C17" w:rsidRPr="00881419">
        <w:rPr>
          <w:sz w:val="28"/>
          <w:szCs w:val="28"/>
        </w:rPr>
        <w:t xml:space="preserve"> 26 декабря 2016 г).</w:t>
      </w:r>
    </w:p>
    <w:p w:rsidR="007B15AD" w:rsidRPr="00881419" w:rsidRDefault="007B15AD" w:rsidP="007B15AD">
      <w:pPr>
        <w:jc w:val="both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881419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3A344A" w:rsidRPr="00BD4E37">
        <w:rPr>
          <w:sz w:val="28"/>
          <w:szCs w:val="28"/>
        </w:rPr>
        <w:t>Рыбалка В.В</w:t>
      </w:r>
      <w:r w:rsidR="003A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E023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B65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B65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B65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B65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E023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881419" w:rsidRDefault="00BC18FA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 xml:space="preserve">Программа практики </w:t>
      </w:r>
      <w:r w:rsidR="0091189E" w:rsidRPr="00881419">
        <w:rPr>
          <w:sz w:val="28"/>
          <w:szCs w:val="28"/>
        </w:rPr>
        <w:t xml:space="preserve">профессионального модуля </w:t>
      </w:r>
      <w:r w:rsidR="003A344A" w:rsidRPr="00881419">
        <w:rPr>
          <w:sz w:val="28"/>
          <w:szCs w:val="28"/>
        </w:rPr>
        <w:t xml:space="preserve">ПМ.04 «Выполнение работ по одной или нескольким профессиям рабочих, должностям служащих «Оператор ЭВМ» </w:t>
      </w:r>
      <w:r w:rsidR="00CF5C17" w:rsidRPr="00881419">
        <w:rPr>
          <w:sz w:val="28"/>
          <w:szCs w:val="28"/>
        </w:rPr>
        <w:t>является частью основной профессиональной образовательной программы по специальности 10.02.</w:t>
      </w:r>
      <w:r w:rsidR="00D3379B" w:rsidRPr="00881419">
        <w:rPr>
          <w:sz w:val="28"/>
          <w:szCs w:val="28"/>
        </w:rPr>
        <w:t>05</w:t>
      </w:r>
      <w:r w:rsidR="00CF5C17" w:rsidRPr="00881419">
        <w:rPr>
          <w:sz w:val="28"/>
          <w:szCs w:val="28"/>
        </w:rPr>
        <w:t xml:space="preserve"> «Обеспечение информационной безопасности </w:t>
      </w:r>
      <w:r w:rsidR="00D3379B" w:rsidRPr="00881419">
        <w:rPr>
          <w:sz w:val="28"/>
          <w:szCs w:val="28"/>
        </w:rPr>
        <w:t>автоматизированных</w:t>
      </w:r>
      <w:r w:rsidR="00CF5C17" w:rsidRPr="00881419">
        <w:rPr>
          <w:sz w:val="28"/>
          <w:szCs w:val="28"/>
        </w:rPr>
        <w:t xml:space="preserve"> систем» базового уровня подготовки</w:t>
      </w:r>
      <w:r w:rsidR="0091189E" w:rsidRPr="00881419">
        <w:rPr>
          <w:sz w:val="28"/>
          <w:szCs w:val="28"/>
        </w:rPr>
        <w:t>.</w:t>
      </w:r>
    </w:p>
    <w:p w:rsidR="00024B27" w:rsidRPr="00881419" w:rsidRDefault="0091189E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>Я</w:t>
      </w:r>
      <w:r w:rsidR="00BC18FA" w:rsidRPr="00881419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881419">
        <w:rPr>
          <w:sz w:val="28"/>
          <w:szCs w:val="28"/>
        </w:rPr>
        <w:t xml:space="preserve"> 10.02.0</w:t>
      </w:r>
      <w:r w:rsidR="00D3379B" w:rsidRPr="00881419">
        <w:rPr>
          <w:sz w:val="28"/>
          <w:szCs w:val="28"/>
        </w:rPr>
        <w:t>5</w:t>
      </w:r>
      <w:r w:rsidR="007B15AD" w:rsidRPr="00881419">
        <w:rPr>
          <w:sz w:val="28"/>
          <w:szCs w:val="28"/>
        </w:rPr>
        <w:t xml:space="preserve"> «Обеспечение информационной безопасности </w:t>
      </w:r>
      <w:r w:rsidR="001241D7" w:rsidRPr="00881419">
        <w:rPr>
          <w:sz w:val="28"/>
          <w:szCs w:val="28"/>
        </w:rPr>
        <w:t>автоматизированных</w:t>
      </w:r>
      <w:r w:rsidR="007B15AD" w:rsidRPr="00881419">
        <w:rPr>
          <w:sz w:val="28"/>
          <w:szCs w:val="28"/>
        </w:rPr>
        <w:t xml:space="preserve"> систем»</w:t>
      </w:r>
      <w:r w:rsidR="00BC18FA" w:rsidRPr="00881419">
        <w:rPr>
          <w:sz w:val="28"/>
          <w:szCs w:val="28"/>
        </w:rPr>
        <w:t xml:space="preserve">, входящей в состав укрупненной группы </w:t>
      </w:r>
      <w:r w:rsidR="007B15AD" w:rsidRPr="00881419">
        <w:rPr>
          <w:sz w:val="28"/>
          <w:szCs w:val="28"/>
        </w:rPr>
        <w:t>10</w:t>
      </w:r>
      <w:r w:rsidR="00BC18FA" w:rsidRPr="00881419">
        <w:rPr>
          <w:sz w:val="28"/>
          <w:szCs w:val="28"/>
        </w:rPr>
        <w:t xml:space="preserve">.00.00 </w:t>
      </w:r>
      <w:r w:rsidR="007B15AD" w:rsidRPr="00881419">
        <w:rPr>
          <w:sz w:val="28"/>
          <w:szCs w:val="28"/>
        </w:rPr>
        <w:t>Информационная безопасность</w:t>
      </w:r>
      <w:r w:rsidR="00024B27" w:rsidRPr="00881419">
        <w:rPr>
          <w:sz w:val="28"/>
          <w:szCs w:val="28"/>
        </w:rPr>
        <w:t>,</w:t>
      </w:r>
      <w:r w:rsidR="00BC18FA" w:rsidRPr="00881419">
        <w:rPr>
          <w:sz w:val="28"/>
          <w:szCs w:val="28"/>
        </w:rPr>
        <w:t xml:space="preserve"> </w:t>
      </w:r>
      <w:r w:rsidR="007B15AD" w:rsidRPr="00881419">
        <w:rPr>
          <w:sz w:val="28"/>
          <w:szCs w:val="28"/>
        </w:rPr>
        <w:t>в части освоения</w:t>
      </w:r>
      <w:r w:rsidR="00024B27" w:rsidRPr="00881419">
        <w:rPr>
          <w:sz w:val="28"/>
          <w:szCs w:val="28"/>
        </w:rPr>
        <w:t>:</w:t>
      </w:r>
      <w:r w:rsidR="007B15AD" w:rsidRPr="00881419">
        <w:rPr>
          <w:sz w:val="28"/>
          <w:szCs w:val="28"/>
        </w:rPr>
        <w:t xml:space="preserve"> </w:t>
      </w:r>
    </w:p>
    <w:p w:rsidR="00AB2998" w:rsidRPr="00881419" w:rsidRDefault="007B15AD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>квалификации: Техник по защите информации</w:t>
      </w:r>
      <w:r w:rsidR="00BC18FA" w:rsidRPr="00881419">
        <w:rPr>
          <w:sz w:val="28"/>
          <w:szCs w:val="28"/>
        </w:rPr>
        <w:t>;</w:t>
      </w:r>
    </w:p>
    <w:p w:rsidR="00024B27" w:rsidRPr="00881419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3A344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3A344A">
        <w:trPr>
          <w:trHeight w:val="20"/>
        </w:trPr>
        <w:tc>
          <w:tcPr>
            <w:tcW w:w="3268" w:type="dxa"/>
            <w:vAlign w:val="center"/>
          </w:tcPr>
          <w:p w:rsidR="00AB2998" w:rsidRDefault="003A344A" w:rsidP="00024B27">
            <w:r w:rsidRPr="003A344A">
              <w:t>ПМ.04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6938" w:type="dxa"/>
          </w:tcPr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rFonts w:eastAsia="Gungsuh"/>
                <w:sz w:val="28"/>
                <w:szCs w:val="28"/>
              </w:rPr>
              <w:t>−</w:t>
            </w:r>
            <w:r w:rsidRPr="00F92B5F">
              <w:rPr>
                <w:rFonts w:eastAsia="Gungsuh"/>
                <w:sz w:val="28"/>
                <w:szCs w:val="28"/>
              </w:rPr>
              <w:tab/>
            </w:r>
            <w:r w:rsidRPr="00F92B5F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производить подключение блоков персонального компьютера и периферийных устройств;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выполнять инсталляцию системного и прикладного программного обеспечения;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создавать и управлять содержимым документов с помощью текстовых процессоров;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lastRenderedPageBreak/>
              <w:t>−</w:t>
            </w:r>
            <w:r w:rsidRPr="00F92B5F">
              <w:rPr>
                <w:sz w:val="28"/>
                <w:szCs w:val="28"/>
              </w:rPr>
              <w:tab/>
              <w:t>создавать и управлять содержимым электронных таблиц с помощью редакторов таблиц;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создавать и управлять содержимым презентаций с помощью редакторов презентаций;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использовать мультимедиа проектор для демонстрации презентаций;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вводить, редактировать и удалять записи в базе данных;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эффективно пользоваться запросами базы данных;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создавать и редактировать графические объекты с помощью программ для обработки растровой и векторной графики;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осуществлять навигацию по Веб-ресурсам Интернета с помощью браузера; 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3"/>
                <w:id w:val="1756249159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4"/>
                <w:id w:val="-95979829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5"/>
                <w:id w:val="-202447434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6"/>
                <w:id w:val="-1148971587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создавать</w:t>
            </w:r>
            <w:r w:rsidR="001241D7" w:rsidRPr="00F92B5F">
              <w:rPr>
                <w:rFonts w:eastAsia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17"/>
                <w:id w:val="1149865929"/>
              </w:sdtPr>
              <w:sdtEndPr/>
              <w:sdtContent>
                <w:r w:rsidR="001241D7" w:rsidRPr="00F92B5F">
                  <w:rPr>
                    <w:rFonts w:eastAsia="Gungsuh"/>
                    <w:sz w:val="28"/>
                    <w:szCs w:val="28"/>
                  </w:rPr>
                  <w:t>−</w:t>
                </w:r>
                <w:r w:rsidR="001241D7" w:rsidRPr="00F92B5F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rFonts w:eastAsia="Gungsuh"/>
                <w:sz w:val="28"/>
                <w:szCs w:val="28"/>
              </w:rPr>
              <w:t xml:space="preserve">защищать </w:t>
            </w:r>
            <w:r w:rsidR="001241D7" w:rsidRPr="00F92B5F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8"/>
                <w:id w:val="1955138138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1241D7" w:rsidRPr="00F92B5F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9"/>
                <w:id w:val="180087869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1241D7" w:rsidRPr="00F92B5F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0"/>
                <w:id w:val="-887407644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1"/>
                <w:id w:val="-46077078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2"/>
                <w:id w:val="-158630401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  <w:t>на</w:t>
                </w:r>
              </w:sdtContent>
            </w:sdt>
            <w:r w:rsidR="001241D7" w:rsidRPr="00F92B5F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="001241D7" w:rsidRPr="00F92B5F">
              <w:rPr>
                <w:rFonts w:eastAsia="Gungsuh"/>
                <w:sz w:val="28"/>
                <w:szCs w:val="28"/>
              </w:rPr>
              <w:t>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23"/>
                <w:id w:val="-189148013"/>
              </w:sdtPr>
              <w:sdtEndPr/>
              <w:sdtContent>
                <w:r w:rsidR="001241D7" w:rsidRPr="00F92B5F">
                  <w:rPr>
                    <w:rFonts w:eastAsia="Gungsuh"/>
                    <w:sz w:val="28"/>
                    <w:szCs w:val="28"/>
                  </w:rPr>
                  <w:t>−</w:t>
                </w:r>
                <w:r w:rsidR="001241D7" w:rsidRPr="00F92B5F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rFonts w:eastAsia="Gungsuh"/>
                <w:sz w:val="28"/>
                <w:szCs w:val="28"/>
              </w:rPr>
              <w:t xml:space="preserve">создавать и настраивать группы </w:t>
            </w:r>
            <w:r w:rsidR="001241D7" w:rsidRPr="00F92B5F">
              <w:rPr>
                <w:sz w:val="28"/>
                <w:szCs w:val="28"/>
              </w:rPr>
              <w:t xml:space="preserve">документов </w:t>
            </w:r>
            <w:r w:rsidR="001241D7" w:rsidRPr="00F92B5F">
              <w:rPr>
                <w:sz w:val="28"/>
                <w:szCs w:val="28"/>
              </w:rPr>
              <w:lastRenderedPageBreak/>
              <w:t>для ведения учета единиц хранения документов и проектов документов в СЭД организации;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4"/>
                <w:id w:val="209943321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5"/>
                <w:id w:val="166542915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6"/>
                <w:id w:val="103130551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вводить поручения по исполнению документов, осуществлять контроль;</w:t>
            </w:r>
          </w:p>
          <w:p w:rsidR="001241D7" w:rsidRPr="00F92B5F" w:rsidRDefault="000B65D3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7"/>
                <w:id w:val="1459842880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  <w:p w:rsidR="00AB2998" w:rsidRDefault="000B65D3" w:rsidP="001241D7">
            <w:pPr>
              <w:widowControl w:val="0"/>
              <w:tabs>
                <w:tab w:val="left" w:pos="463"/>
              </w:tabs>
              <w:jc w:val="both"/>
              <w:rPr>
                <w:b/>
                <w:color w:val="000000"/>
              </w:rPr>
            </w:pPr>
            <w:sdt>
              <w:sdtPr>
                <w:rPr>
                  <w:sz w:val="28"/>
                  <w:szCs w:val="28"/>
                </w:rPr>
                <w:tag w:val="goog_rdk_28"/>
                <w:id w:val="1122505241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</w:t>
            </w:r>
            <w:r w:rsidR="001241D7">
              <w:rPr>
                <w:b/>
                <w:color w:val="000000"/>
              </w:rPr>
              <w:t xml:space="preserve"> 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</w:t>
      </w:r>
      <w:r w:rsidR="003A344A">
        <w:rPr>
          <w:color w:val="000000"/>
          <w:sz w:val="28"/>
          <w:szCs w:val="28"/>
        </w:rPr>
        <w:t>04</w:t>
      </w:r>
      <w:r w:rsidR="00BC18FA">
        <w:rPr>
          <w:color w:val="000000"/>
          <w:sz w:val="28"/>
          <w:szCs w:val="28"/>
        </w:rPr>
        <w:t xml:space="preserve"> - </w:t>
      </w:r>
      <w:r w:rsidR="003A344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3A344A" w:rsidRPr="00BD4E37">
        <w:rPr>
          <w:b/>
          <w:color w:val="000000"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3A344A">
        <w:rPr>
          <w:b/>
          <w:color w:val="000000"/>
          <w:sz w:val="28"/>
          <w:szCs w:val="28"/>
        </w:rPr>
        <w:t xml:space="preserve"> </w:t>
      </w:r>
      <w:r w:rsidR="0030708C" w:rsidRPr="0030708C">
        <w:rPr>
          <w:sz w:val="28"/>
          <w:szCs w:val="28"/>
        </w:rPr>
        <w:t>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RPr="00881419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Pr="00881419" w:rsidRDefault="00BC18FA">
            <w:pPr>
              <w:jc w:val="center"/>
              <w:rPr>
                <w:b/>
                <w:highlight w:val="yellow"/>
              </w:rPr>
            </w:pPr>
            <w:r w:rsidRPr="0088141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Pr="00881419" w:rsidRDefault="00BC18FA">
            <w:pPr>
              <w:jc w:val="center"/>
              <w:rPr>
                <w:b/>
              </w:rPr>
            </w:pPr>
            <w:r w:rsidRPr="00881419"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Pr="00881419" w:rsidRDefault="00BC18FA">
            <w:pPr>
              <w:jc w:val="center"/>
              <w:rPr>
                <w:b/>
              </w:rPr>
            </w:pPr>
            <w:r w:rsidRPr="00881419">
              <w:rPr>
                <w:b/>
              </w:rPr>
              <w:t>Наименование результата освоения практики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881419">
              <w:t>ПМ.04 «Выполнение работ по одной или нескольким профессиям рабочих, должностям служащих «Оператор ЭВМ</w:t>
            </w:r>
            <w:r w:rsidRPr="00881419">
              <w:rPr>
                <w:b/>
                <w:color w:val="000000"/>
              </w:rPr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1.1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1.2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1.3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2.1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2.2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2.4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2.5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2.6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1.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2.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3.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4.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Эффективно взаимодействовать и работать в коллективе и команде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5.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6.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7.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8.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9.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 w:val="restart"/>
            <w:vAlign w:val="center"/>
          </w:tcPr>
          <w:p w:rsidR="001241D7" w:rsidRDefault="001241D7" w:rsidP="001241D7">
            <w:r>
              <w:t xml:space="preserve">ПК 1.1-ПК 1.3, </w:t>
            </w:r>
          </w:p>
          <w:p w:rsidR="001241D7" w:rsidRDefault="001241D7" w:rsidP="001241D7">
            <w:r>
              <w:t>ПК 2.1-ПК 2.2,</w:t>
            </w:r>
          </w:p>
          <w:p w:rsidR="001241D7" w:rsidRDefault="001241D7" w:rsidP="001241D7">
            <w:r>
              <w:t>ПК 2.4-ПК 2.6</w:t>
            </w:r>
          </w:p>
          <w:p w:rsidR="001C60FD" w:rsidRPr="001D064D" w:rsidRDefault="001241D7" w:rsidP="001241D7">
            <w:r>
              <w:t>ОК 1-9</w:t>
            </w: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C60FD" w:rsidRDefault="001C60FD" w:rsidP="001B2AD6">
            <w:pPr>
              <w:rPr>
                <w:sz w:val="28"/>
                <w:szCs w:val="28"/>
              </w:rPr>
            </w:pPr>
            <w:r w:rsidRPr="001C60FD">
              <w:rPr>
                <w:sz w:val="28"/>
                <w:szCs w:val="28"/>
              </w:rPr>
              <w:t xml:space="preserve">ПМ.04 «Выполнение работ по одной или нескольким профессиям рабочих, должностям служащих «Оператор ЭВМ» </w:t>
            </w:r>
          </w:p>
          <w:p w:rsidR="001C60FD" w:rsidRPr="001D064D" w:rsidRDefault="001C60FD" w:rsidP="001C60FD">
            <w:r w:rsidRPr="001D064D">
              <w:t>УП.0</w:t>
            </w:r>
            <w:r>
              <w:t>4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C60FD" w:rsidRDefault="001C60FD" w:rsidP="001C6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1C60FD" w:rsidRDefault="001C60FD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Оператор ЭВМ</w:t>
            </w: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/>
          </w:tcPr>
          <w:p w:rsidR="001C60FD" w:rsidRDefault="001C60F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Default="001C60FD" w:rsidP="001C60FD">
            <w:pPr>
              <w:tabs>
                <w:tab w:val="left" w:pos="1200"/>
              </w:tabs>
              <w:rPr>
                <w:sz w:val="20"/>
                <w:szCs w:val="20"/>
              </w:rPr>
            </w:pPr>
            <w:r w:rsidRPr="00BD4E37">
              <w:rPr>
                <w:color w:val="000000"/>
              </w:rPr>
              <w:t>Практическое занятие №4 «</w:t>
            </w:r>
            <w:r w:rsidRPr="00BD4E37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Практическое занятие №18 </w:t>
            </w:r>
            <w:r w:rsidRPr="00BD4E37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BD4E37">
              <w:rPr>
                <w:b/>
                <w:color w:val="000000"/>
                <w:highlight w:val="white"/>
              </w:rPr>
              <w:t xml:space="preserve">»  </w:t>
            </w:r>
            <w:r w:rsidRPr="00BD4E37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C6611A">
        <w:trPr>
          <w:trHeight w:val="46"/>
        </w:trPr>
        <w:tc>
          <w:tcPr>
            <w:tcW w:w="124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60FD" w:rsidRDefault="001C60F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1C60FD" w:rsidRDefault="001C60F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1C60FD" w:rsidRDefault="001C60F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1C60FD" w:rsidRDefault="001C60F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17F8" w:rsidRDefault="00AB1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:rsidTr="001C60FD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1C60FD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 1.1 Производить установку и настройку </w:t>
            </w:r>
            <w:r w:rsidR="00881419" w:rsidRPr="00BD4E37">
              <w:rPr>
                <w:color w:val="000000"/>
              </w:rPr>
              <w:t>компонентов,</w:t>
            </w:r>
            <w:r w:rsidRPr="00BD4E37">
              <w:rPr>
                <w:color w:val="000000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241D7">
        <w:rPr>
          <w:b/>
          <w:sz w:val="28"/>
          <w:szCs w:val="28"/>
        </w:rPr>
        <w:t>5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241D7">
        <w:rPr>
          <w:b/>
          <w:sz w:val="28"/>
          <w:szCs w:val="28"/>
        </w:rPr>
        <w:t xml:space="preserve">автоматизированных 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241D7">
        <w:rPr>
          <w:b/>
          <w:sz w:val="28"/>
          <w:szCs w:val="28"/>
        </w:rPr>
        <w:t>5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241D7">
        <w:rPr>
          <w:b/>
          <w:sz w:val="28"/>
          <w:szCs w:val="28"/>
        </w:rPr>
        <w:t>автоматизированных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AA" w:rsidRDefault="009815AA">
      <w:r>
        <w:separator/>
      </w:r>
    </w:p>
  </w:endnote>
  <w:endnote w:type="continuationSeparator" w:id="0">
    <w:p w:rsidR="009815AA" w:rsidRDefault="0098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65D3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65D3">
      <w:rPr>
        <w:noProof/>
        <w:color w:val="000000"/>
      </w:rPr>
      <w:t>20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AA" w:rsidRDefault="009815AA">
      <w:r>
        <w:separator/>
      </w:r>
    </w:p>
  </w:footnote>
  <w:footnote w:type="continuationSeparator" w:id="0">
    <w:p w:rsidR="009815AA" w:rsidRDefault="00981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B65D3"/>
    <w:rsid w:val="000D60A3"/>
    <w:rsid w:val="00122C0C"/>
    <w:rsid w:val="001241D7"/>
    <w:rsid w:val="00135382"/>
    <w:rsid w:val="001B2AD6"/>
    <w:rsid w:val="001C60FD"/>
    <w:rsid w:val="001D064D"/>
    <w:rsid w:val="001F30EC"/>
    <w:rsid w:val="002B5F02"/>
    <w:rsid w:val="002D0649"/>
    <w:rsid w:val="0030708C"/>
    <w:rsid w:val="003A344A"/>
    <w:rsid w:val="003B4C68"/>
    <w:rsid w:val="003E709E"/>
    <w:rsid w:val="003F4379"/>
    <w:rsid w:val="00663A7D"/>
    <w:rsid w:val="006A1659"/>
    <w:rsid w:val="006F1347"/>
    <w:rsid w:val="00794334"/>
    <w:rsid w:val="007B15AD"/>
    <w:rsid w:val="007F12D4"/>
    <w:rsid w:val="00875981"/>
    <w:rsid w:val="00881419"/>
    <w:rsid w:val="00905A2D"/>
    <w:rsid w:val="0091189E"/>
    <w:rsid w:val="009815AA"/>
    <w:rsid w:val="00AA48E7"/>
    <w:rsid w:val="00AB17F8"/>
    <w:rsid w:val="00AB2998"/>
    <w:rsid w:val="00AB5962"/>
    <w:rsid w:val="00AC2080"/>
    <w:rsid w:val="00AD366B"/>
    <w:rsid w:val="00BC18FA"/>
    <w:rsid w:val="00C255F9"/>
    <w:rsid w:val="00C63E7D"/>
    <w:rsid w:val="00C645F8"/>
    <w:rsid w:val="00C6611A"/>
    <w:rsid w:val="00CE5F54"/>
    <w:rsid w:val="00CF5C17"/>
    <w:rsid w:val="00CF7E2F"/>
    <w:rsid w:val="00D3379B"/>
    <w:rsid w:val="00E023D5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84D4"/>
  <w15:docId w15:val="{7DC18CE9-1E07-4FEA-952A-5019F588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KpvbuvEzt3Wtens8N6VpmWFw48fFmnPq51JVhZciABo=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9GB8kAImZvAAHdNya9Rffqjz3xr3c3u3TzLEAnPVYDc=</DigestValue>
    </Reference>
  </SignedInfo>
  <SignatureValue>SWHZOyePghHGrBhVf41nXgL71tZa0EtCIplbprwe5W0H5bnkF8JvRDGKcSaIYaeK
d/UuOxFeQQ28gq7vv9dYkA==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RD/HzEFZoFnBuuvY+Qfi47WTYqg=</DigestValue>
      </Reference>
      <Reference URI="/word/endnotes.xml?ContentType=application/vnd.openxmlformats-officedocument.wordprocessingml.endnotes+xml">
        <DigestMethod Algorithm="http://www.w3.org/2000/09/xmldsig#sha1"/>
        <DigestValue>zEPy+veVkFzfDUXf+j4G/rvCCko=</DigestValue>
      </Reference>
      <Reference URI="/word/fontTable.xml?ContentType=application/vnd.openxmlformats-officedocument.wordprocessingml.fontTable+xml">
        <DigestMethod Algorithm="http://www.w3.org/2000/09/xmldsig#sha1"/>
        <DigestValue>hF5nvwhrizVreRiSRkH9KSjn+fo=</DigestValue>
      </Reference>
      <Reference URI="/word/footer1.xml?ContentType=application/vnd.openxmlformats-officedocument.wordprocessingml.footer+xml">
        <DigestMethod Algorithm="http://www.w3.org/2000/09/xmldsig#sha1"/>
        <DigestValue>3k57K1WA2POi8xs+kKyvFIRgdCA=</DigestValue>
      </Reference>
      <Reference URI="/word/footer2.xml?ContentType=application/vnd.openxmlformats-officedocument.wordprocessingml.footer+xml">
        <DigestMethod Algorithm="http://www.w3.org/2000/09/xmldsig#sha1"/>
        <DigestValue>fvS4n8+9jytIaaT+5UH1jilCrGU=</DigestValue>
      </Reference>
      <Reference URI="/word/footer3.xml?ContentType=application/vnd.openxmlformats-officedocument.wordprocessingml.footer+xml">
        <DigestMethod Algorithm="http://www.w3.org/2000/09/xmldsig#sha1"/>
        <DigestValue>eNA7TCzaiY8wSbK9IRR5P+h7WSc=</DigestValue>
      </Reference>
      <Reference URI="/word/footnotes.xml?ContentType=application/vnd.openxmlformats-officedocument.wordprocessingml.footnotes+xml">
        <DigestMethod Algorithm="http://www.w3.org/2000/09/xmldsig#sha1"/>
        <DigestValue>fQWNhecUvxC941h465BdWs0wdbU=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MQ417v5SqkHsLRCSwe1tYaxJuxY=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2025-06-04T04:39:09Z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2025-06-04T04:39:09Z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F450B2-4C1E-42C2-B774-8D5E7F65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3839</Words>
  <Characters>21884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5</cp:revision>
  <dcterms:created xsi:type="dcterms:W3CDTF">2025-05-22T04:05:00Z</dcterms:created>
  <dcterms:modified xsi:type="dcterms:W3CDTF">2025-06-04T04:39:00Z</dcterms:modified>
</cp:coreProperties>
</file>